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中共温岭市委党校</w:t>
      </w:r>
      <w:r>
        <w:rPr>
          <w:rFonts w:hint="eastAsia" w:ascii="方正小标宋简体" w:hAnsi="方正小标宋简体" w:eastAsia="方正小标宋简体" w:cs="方正小标宋简体"/>
          <w:bCs/>
          <w:spacing w:val="15"/>
          <w:sz w:val="44"/>
          <w:szCs w:val="44"/>
        </w:rPr>
        <w:t>2024年部门预算</w:t>
      </w:r>
    </w:p>
    <w:p>
      <w:pPr>
        <w:spacing w:line="560" w:lineRule="exact"/>
        <w:ind w:firstLine="590" w:firstLineChars="196"/>
        <w:rPr>
          <w:rStyle w:val="10"/>
          <w:sz w:val="30"/>
          <w:szCs w:val="30"/>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p>
    <w:p>
      <w:pPr>
        <w:spacing w:line="520" w:lineRule="exact"/>
        <w:rPr>
          <w:rStyle w:val="10"/>
          <w:rFonts w:ascii="黑体" w:eastAsia="黑体"/>
          <w:b w:val="0"/>
          <w:sz w:val="32"/>
          <w:szCs w:val="32"/>
        </w:rPr>
      </w:pPr>
    </w:p>
    <w:p>
      <w:pPr>
        <w:spacing w:line="520" w:lineRule="exact"/>
        <w:ind w:firstLine="627" w:firstLineChars="196"/>
        <w:jc w:val="center"/>
        <w:rPr>
          <w:rStyle w:val="10"/>
          <w:rFonts w:ascii="黑体" w:eastAsia="黑体"/>
          <w:b w:val="0"/>
          <w:sz w:val="32"/>
          <w:szCs w:val="32"/>
        </w:rPr>
      </w:pPr>
      <w:r>
        <w:rPr>
          <w:rStyle w:val="10"/>
          <w:rFonts w:hint="eastAsia" w:ascii="黑体" w:eastAsia="黑体"/>
          <w:b w:val="0"/>
          <w:sz w:val="32"/>
          <w:szCs w:val="32"/>
        </w:rPr>
        <w:t>目录</w:t>
      </w:r>
    </w:p>
    <w:p>
      <w:pPr>
        <w:spacing w:line="520" w:lineRule="exact"/>
        <w:rPr>
          <w:rFonts w:eastAsia="黑体"/>
          <w:sz w:val="32"/>
        </w:rPr>
      </w:pPr>
      <w:r>
        <w:rPr>
          <w:rFonts w:hint="eastAsia" w:ascii="黑体" w:eastAsia="黑体"/>
          <w:sz w:val="32"/>
          <w:highlight w:val="white"/>
        </w:rPr>
        <w:t>一、</w:t>
      </w:r>
      <w:r>
        <w:rPr>
          <w:rStyle w:val="10"/>
          <w:rFonts w:hint="eastAsia" w:ascii="黑体" w:eastAsia="黑体"/>
          <w:b w:val="0"/>
          <w:sz w:val="32"/>
          <w:szCs w:val="32"/>
        </w:rPr>
        <w:t>部门概况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spacing w:line="520" w:lineRule="exact"/>
        <w:rPr>
          <w:rStyle w:val="10"/>
          <w:rFonts w:ascii="黑体" w:eastAsia="黑体"/>
          <w:b w:val="0"/>
          <w:sz w:val="32"/>
          <w:szCs w:val="32"/>
        </w:rPr>
      </w:pPr>
      <w:r>
        <w:rPr>
          <w:rStyle w:val="10"/>
          <w:rFonts w:hint="eastAsia" w:ascii="黑体" w:eastAsia="黑体"/>
          <w:b w:val="0"/>
          <w:sz w:val="32"/>
          <w:szCs w:val="32"/>
        </w:rPr>
        <w:t>二、2024年中共温岭市委党校部门预算安排情况说明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（一）关于中共温岭市委党校2024年收支预算情况的总体说明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（二）关于中共温岭市委党校2024年收入预算情况说明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（三）关于中共温岭市委党校2024年支出预算情况说明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（四）关于中共温岭市委党校2024年财政拨款收支预算情况的总体说明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（五）关于中共温岭市委党校2024年一般公共预算拨款情况说明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（六）关于中共温岭市委党校2024年一般公共预算基本支出情况说明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（七）关于中共温岭市委党校2024年政府性基金预算支出情况说明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（八）关于中共温岭市委党校2024年国有资本经营预算支出情况说明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（九）关于中共温岭市委党校2024年一般公共预算“三公”经费预算情况说明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5"/>
        <w:spacing w:line="520" w:lineRule="exact"/>
        <w:rPr>
          <w:rStyle w:val="10"/>
          <w:rFonts w:ascii="黑体" w:hAnsi="Calibri" w:eastAsia="黑体"/>
          <w:b w:val="0"/>
          <w:kern w:val="2"/>
          <w:sz w:val="32"/>
          <w:szCs w:val="32"/>
        </w:rPr>
      </w:pPr>
      <w:r>
        <w:rPr>
          <w:rStyle w:val="10"/>
          <w:rFonts w:hint="eastAsia" w:ascii="黑体" w:hAnsi="Calibri" w:eastAsia="黑体"/>
          <w:b w:val="0"/>
          <w:kern w:val="2"/>
          <w:sz w:val="32"/>
          <w:szCs w:val="32"/>
        </w:rPr>
        <w:t>三、名词解释</w:t>
      </w:r>
    </w:p>
    <w:p>
      <w:pPr>
        <w:spacing w:line="520" w:lineRule="exact"/>
        <w:rPr>
          <w:rStyle w:val="10"/>
          <w:rFonts w:ascii="黑体" w:eastAsia="黑体"/>
          <w:b w:val="0"/>
          <w:sz w:val="32"/>
          <w:szCs w:val="32"/>
        </w:rPr>
      </w:pPr>
      <w:r>
        <w:rPr>
          <w:rStyle w:val="10"/>
          <w:rFonts w:hint="eastAsia" w:ascii="黑体" w:eastAsia="黑体"/>
          <w:b w:val="0"/>
          <w:sz w:val="32"/>
          <w:szCs w:val="32"/>
        </w:rPr>
        <w:t>四、2024年中共温岭市委党校部门预算表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（一）2024年部门收支预算总表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（二）2024年部门收入预算总表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（三）2024年部门支出预算总表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（四）2024年部门财政拨款收支预算总表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（五）2024年部门一般公共预算支出表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（六）2024年部门一般公共预算基本支出表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（七）2024年部门一般公共预算“三公”经费支出表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（八）2024年部门政府性基金预算支出表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（九）2024年部门国有资本经营预算支出表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（十）2024年部门项目支出预算表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（十一）2024年部门项目支出绩效表</w:t>
      </w:r>
    </w:p>
    <w:p>
      <w:pPr>
        <w:spacing w:line="520" w:lineRule="exact"/>
        <w:ind w:firstLine="627" w:firstLineChars="196"/>
        <w:rPr>
          <w:rStyle w:val="10"/>
          <w:rFonts w:ascii="黑体" w:eastAsia="黑体"/>
          <w:b w:val="0"/>
          <w:sz w:val="32"/>
          <w:szCs w:val="32"/>
        </w:rPr>
      </w:pPr>
    </w:p>
    <w:p>
      <w:pPr>
        <w:pStyle w:val="2"/>
        <w:rPr>
          <w:rStyle w:val="10"/>
          <w:rFonts w:hint="default" w:ascii="黑体" w:eastAsia="黑体"/>
          <w:b w:val="0"/>
          <w:color w:val="auto"/>
          <w:sz w:val="32"/>
          <w:szCs w:val="32"/>
        </w:rPr>
      </w:pPr>
    </w:p>
    <w:p>
      <w:pPr>
        <w:pStyle w:val="2"/>
        <w:rPr>
          <w:rStyle w:val="10"/>
          <w:rFonts w:hint="default" w:ascii="黑体" w:eastAsia="黑体"/>
          <w:b w:val="0"/>
          <w:color w:val="auto"/>
          <w:sz w:val="32"/>
          <w:szCs w:val="32"/>
        </w:rPr>
      </w:pPr>
    </w:p>
    <w:p>
      <w:pPr>
        <w:pStyle w:val="2"/>
        <w:rPr>
          <w:rStyle w:val="10"/>
          <w:rFonts w:hint="default" w:ascii="黑体" w:eastAsia="黑体"/>
          <w:b w:val="0"/>
          <w:color w:val="auto"/>
          <w:sz w:val="32"/>
          <w:szCs w:val="32"/>
        </w:rPr>
      </w:pPr>
    </w:p>
    <w:p>
      <w:pPr>
        <w:pStyle w:val="2"/>
        <w:rPr>
          <w:rStyle w:val="10"/>
          <w:rFonts w:hint="default" w:ascii="黑体" w:eastAsia="黑体"/>
          <w:b w:val="0"/>
          <w:color w:val="auto"/>
          <w:sz w:val="32"/>
          <w:szCs w:val="32"/>
        </w:rPr>
      </w:pPr>
    </w:p>
    <w:p>
      <w:pPr>
        <w:pStyle w:val="2"/>
        <w:rPr>
          <w:rStyle w:val="10"/>
          <w:rFonts w:hint="default" w:ascii="黑体" w:eastAsia="黑体"/>
          <w:b w:val="0"/>
          <w:color w:val="auto"/>
          <w:sz w:val="32"/>
          <w:szCs w:val="32"/>
        </w:rPr>
      </w:pPr>
    </w:p>
    <w:p>
      <w:pPr>
        <w:pStyle w:val="2"/>
        <w:rPr>
          <w:rStyle w:val="10"/>
          <w:rFonts w:hint="default" w:ascii="黑体" w:eastAsia="黑体"/>
          <w:b w:val="0"/>
          <w:color w:val="auto"/>
          <w:sz w:val="32"/>
          <w:szCs w:val="32"/>
        </w:rPr>
      </w:pPr>
    </w:p>
    <w:p>
      <w:pPr>
        <w:pStyle w:val="2"/>
        <w:rPr>
          <w:rStyle w:val="10"/>
          <w:rFonts w:hint="default" w:ascii="黑体" w:eastAsia="黑体"/>
          <w:b w:val="0"/>
          <w:color w:val="auto"/>
          <w:sz w:val="32"/>
          <w:szCs w:val="32"/>
        </w:rPr>
      </w:pPr>
    </w:p>
    <w:p>
      <w:pPr>
        <w:pStyle w:val="2"/>
        <w:tabs>
          <w:tab w:val="left" w:pos="2608"/>
        </w:tabs>
        <w:rPr>
          <w:rStyle w:val="10"/>
          <w:rFonts w:hint="default" w:ascii="黑体" w:eastAsia="黑体"/>
          <w:b w:val="0"/>
          <w:color w:val="auto"/>
          <w:sz w:val="32"/>
          <w:szCs w:val="32"/>
        </w:rPr>
      </w:pPr>
      <w:r>
        <w:rPr>
          <w:rStyle w:val="10"/>
          <w:rFonts w:ascii="黑体" w:eastAsia="黑体"/>
          <w:b w:val="0"/>
          <w:color w:val="auto"/>
          <w:sz w:val="32"/>
          <w:szCs w:val="32"/>
        </w:rPr>
        <w:tab/>
      </w:r>
    </w:p>
    <w:p>
      <w:pPr>
        <w:pStyle w:val="2"/>
        <w:tabs>
          <w:tab w:val="left" w:pos="2608"/>
        </w:tabs>
        <w:rPr>
          <w:rStyle w:val="10"/>
          <w:rFonts w:hint="default" w:ascii="黑体" w:eastAsia="黑体"/>
          <w:b w:val="0"/>
          <w:color w:val="auto"/>
          <w:sz w:val="32"/>
          <w:szCs w:val="32"/>
        </w:rPr>
      </w:pPr>
    </w:p>
    <w:p>
      <w:pPr>
        <w:spacing w:line="580" w:lineRule="exact"/>
        <w:ind w:firstLine="627" w:firstLineChars="196"/>
        <w:rPr>
          <w:rStyle w:val="10"/>
          <w:rFonts w:ascii="黑体" w:eastAsia="黑体"/>
          <w:b w:val="0"/>
          <w:sz w:val="32"/>
          <w:szCs w:val="32"/>
        </w:rPr>
      </w:pPr>
      <w:r>
        <w:rPr>
          <w:rStyle w:val="10"/>
          <w:rFonts w:hint="eastAsia" w:ascii="黑体" w:eastAsia="黑体"/>
          <w:b w:val="0"/>
          <w:sz w:val="32"/>
          <w:szCs w:val="32"/>
        </w:rPr>
        <w:t>一、部门概况</w:t>
      </w:r>
    </w:p>
    <w:p>
      <w:pPr>
        <w:spacing w:line="58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80" w:lineRule="exact"/>
        <w:ind w:firstLine="627" w:firstLineChars="196"/>
        <w:rPr>
          <w:rFonts w:ascii="仿宋_GB2312" w:eastAsia="仿宋_GB2312"/>
          <w:sz w:val="32"/>
          <w:szCs w:val="32"/>
        </w:rPr>
      </w:pPr>
      <w:r>
        <w:rPr>
          <w:rFonts w:hint="eastAsia" w:ascii="仿宋_GB2312" w:eastAsia="仿宋_GB2312"/>
          <w:sz w:val="32"/>
          <w:szCs w:val="32"/>
        </w:rPr>
        <w:t>1.轮训、培训本市党员干部以及理论骨干；培训公务员以及政策研究人员；负责本市各民主党派、无党派人士和统一战线其他方面代表人士以及统战工作干部的培训。</w:t>
      </w:r>
    </w:p>
    <w:p>
      <w:pPr>
        <w:spacing w:line="580" w:lineRule="exact"/>
        <w:ind w:firstLine="627" w:firstLineChars="196"/>
        <w:rPr>
          <w:rFonts w:ascii="楷体_GB2312" w:hAnsi="楷体_GB2312" w:eastAsia="楷体_GB2312" w:cs="楷体_GB2312"/>
          <w:bCs/>
          <w:sz w:val="32"/>
          <w:szCs w:val="32"/>
        </w:rPr>
      </w:pPr>
      <w:r>
        <w:rPr>
          <w:rFonts w:hint="eastAsia" w:ascii="仿宋_GB2312" w:eastAsia="仿宋_GB2312"/>
          <w:sz w:val="32"/>
          <w:szCs w:val="32"/>
        </w:rPr>
        <w:t xml:space="preserve">2.开展哲学社会科学的研究，根据市委的中心工作和改革、发展中出现的新情况新问题主动开展调研和科学研究，推进理论创新。 </w:t>
      </w:r>
    </w:p>
    <w:p>
      <w:pPr>
        <w:spacing w:line="580" w:lineRule="exact"/>
        <w:ind w:firstLine="627" w:firstLineChars="196"/>
        <w:rPr>
          <w:rFonts w:ascii="楷体_GB2312" w:hAnsi="楷体_GB2312" w:eastAsia="楷体_GB2312" w:cs="楷体_GB2312"/>
          <w:bCs/>
          <w:sz w:val="32"/>
          <w:szCs w:val="32"/>
        </w:rPr>
      </w:pPr>
      <w:r>
        <w:rPr>
          <w:rFonts w:hint="eastAsia" w:ascii="仿宋_GB2312" w:eastAsia="仿宋_GB2312"/>
          <w:sz w:val="32"/>
          <w:szCs w:val="32"/>
        </w:rPr>
        <w:t>3.开展马克思主义中国化成果的理论宣传，开展党的路线、方针、政策的宣传。</w:t>
      </w:r>
    </w:p>
    <w:p>
      <w:pPr>
        <w:spacing w:line="580" w:lineRule="exact"/>
        <w:ind w:firstLine="627" w:firstLineChars="196"/>
        <w:rPr>
          <w:rFonts w:ascii="楷体_GB2312" w:hAnsi="楷体_GB2312" w:eastAsia="楷体_GB2312" w:cs="楷体_GB2312"/>
          <w:bCs/>
          <w:sz w:val="32"/>
          <w:szCs w:val="32"/>
        </w:rPr>
      </w:pPr>
      <w:r>
        <w:rPr>
          <w:rFonts w:hint="eastAsia" w:ascii="仿宋_GB2312" w:eastAsia="仿宋_GB2312"/>
          <w:sz w:val="32"/>
          <w:szCs w:val="32"/>
        </w:rPr>
        <w:t>4.按照国家有关法律法规和政策规定，开展学历教育及其他形式的继续教育和培训。</w:t>
      </w:r>
    </w:p>
    <w:p>
      <w:pPr>
        <w:spacing w:line="580" w:lineRule="exact"/>
        <w:ind w:firstLine="627" w:firstLineChars="196"/>
        <w:rPr>
          <w:rFonts w:ascii="楷体_GB2312" w:hAnsi="楷体_GB2312" w:eastAsia="楷体_GB2312" w:cs="楷体_GB2312"/>
          <w:bCs/>
          <w:sz w:val="32"/>
          <w:szCs w:val="32"/>
        </w:rPr>
      </w:pPr>
      <w:r>
        <w:rPr>
          <w:rFonts w:hint="eastAsia" w:ascii="仿宋_GB2312" w:eastAsia="仿宋_GB2312"/>
          <w:sz w:val="32"/>
          <w:szCs w:val="32"/>
        </w:rPr>
        <w:t xml:space="preserve">5.开展民主恳谈课题研究，承办民主恳谈研讨与调研，参与民主恳谈活动指导。 </w:t>
      </w:r>
    </w:p>
    <w:p>
      <w:pPr>
        <w:spacing w:line="580" w:lineRule="exact"/>
        <w:ind w:firstLine="627" w:firstLineChars="196"/>
        <w:rPr>
          <w:rFonts w:ascii="楷体_GB2312" w:hAnsi="楷体_GB2312" w:eastAsia="楷体_GB2312" w:cs="楷体_GB2312"/>
          <w:bCs/>
          <w:sz w:val="32"/>
          <w:szCs w:val="32"/>
        </w:rPr>
      </w:pPr>
      <w:r>
        <w:rPr>
          <w:rFonts w:hint="eastAsia" w:ascii="仿宋_GB2312" w:eastAsia="仿宋_GB2312"/>
          <w:sz w:val="32"/>
          <w:szCs w:val="32"/>
        </w:rPr>
        <w:t>6.完成市委市政府交办的其他任务。</w:t>
      </w:r>
    </w:p>
    <w:p>
      <w:pPr>
        <w:spacing w:line="58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spacing w:line="580" w:lineRule="exact"/>
        <w:ind w:firstLine="627" w:firstLineChars="196"/>
        <w:rPr>
          <w:rFonts w:ascii="楷体_GB2312" w:hAnsi="楷体_GB2312" w:eastAsia="楷体_GB2312" w:cs="楷体_GB2312"/>
          <w:bCs/>
          <w:sz w:val="32"/>
          <w:szCs w:val="32"/>
        </w:rPr>
      </w:pPr>
      <w:r>
        <w:rPr>
          <w:rFonts w:hint="eastAsia" w:ascii="仿宋_GB2312" w:eastAsia="仿宋_GB2312"/>
          <w:sz w:val="32"/>
          <w:szCs w:val="32"/>
        </w:rPr>
        <w:t>从预算单位构成看，中共温岭市委党校部门预算包括：中共温岭市委党校本级预算。</w:t>
      </w:r>
    </w:p>
    <w:p>
      <w:pPr>
        <w:spacing w:line="580" w:lineRule="exact"/>
        <w:rPr>
          <w:rFonts w:ascii="楷体_GB2312" w:hAnsi="楷体_GB2312" w:eastAsia="楷体_GB2312" w:cs="楷体_GB2312"/>
          <w:sz w:val="32"/>
          <w:szCs w:val="32"/>
        </w:rPr>
      </w:pPr>
      <w:r>
        <w:rPr>
          <w:rStyle w:val="10"/>
          <w:rFonts w:hint="eastAsia" w:ascii="黑体" w:eastAsia="黑体"/>
          <w:b w:val="0"/>
          <w:sz w:val="32"/>
          <w:szCs w:val="32"/>
        </w:rPr>
        <w:t>　　二、2024年中共温岭市委党校部门预算安排情况说明</w:t>
      </w:r>
      <w:r>
        <w:rPr>
          <w:rFonts w:hint="eastAsia"/>
          <w:sz w:val="32"/>
          <w:szCs w:val="32"/>
        </w:rPr>
        <w:br w:type="textWrapping"/>
      </w:r>
      <w:r>
        <w:rPr>
          <w:rFonts w:hint="eastAsia" w:ascii="仿宋_GB2312" w:eastAsia="仿宋_GB2312"/>
          <w:b/>
          <w:bCs/>
          <w:sz w:val="32"/>
          <w:szCs w:val="32"/>
        </w:rPr>
        <w:t>　　</w:t>
      </w:r>
      <w:r>
        <w:rPr>
          <w:rFonts w:hint="eastAsia" w:ascii="楷体_GB2312" w:hAnsi="楷体_GB2312" w:eastAsia="楷体_GB2312" w:cs="楷体_GB2312"/>
          <w:sz w:val="32"/>
          <w:szCs w:val="32"/>
        </w:rPr>
        <w:t>（一）关于中共温岭市委党校</w:t>
      </w:r>
      <w:r>
        <w:rPr>
          <w:rStyle w:val="10"/>
          <w:rFonts w:hint="eastAsia" w:ascii="楷体_GB2312" w:hAnsi="楷体_GB2312" w:eastAsia="楷体_GB2312" w:cs="楷体_GB2312"/>
          <w:b w:val="0"/>
          <w:bCs w:val="0"/>
          <w:sz w:val="32"/>
          <w:szCs w:val="32"/>
        </w:rPr>
        <w:t>2024年收支预算情况的总体说明</w:t>
      </w:r>
    </w:p>
    <w:p>
      <w:pPr>
        <w:spacing w:line="580" w:lineRule="exact"/>
        <w:ind w:firstLine="480" w:firstLineChars="150"/>
        <w:rPr>
          <w:rFonts w:ascii="楷体_GB2312" w:hAnsi="楷体_GB2312" w:eastAsia="楷体_GB2312" w:cs="楷体_GB2312"/>
          <w:b/>
          <w:sz w:val="32"/>
          <w:szCs w:val="32"/>
        </w:rPr>
      </w:pPr>
      <w:r>
        <w:rPr>
          <w:rFonts w:hint="eastAsia" w:ascii="仿宋_GB2312" w:eastAsia="仿宋_GB2312"/>
          <w:bCs/>
          <w:sz w:val="32"/>
          <w:szCs w:val="32"/>
        </w:rPr>
        <w:t xml:space="preserve"> 按照综合预算的原则，中共温岭市委党校</w:t>
      </w:r>
      <w:r>
        <w:rPr>
          <w:rFonts w:hint="eastAsia" w:ascii="仿宋_GB2312" w:eastAsia="仿宋_GB2312"/>
          <w:sz w:val="32"/>
          <w:szCs w:val="32"/>
        </w:rPr>
        <w:t>所有收入和支出均纳入部门预算管理。收入包括：一般公共预算收入、财政专户管理资金收入；支出包括：教育支出、社会保障和就业支出。中共温岭市委党校2024年收支总预算1894.33万元。</w:t>
      </w:r>
    </w:p>
    <w:p>
      <w:pPr>
        <w:spacing w:line="580" w:lineRule="exact"/>
        <w:ind w:firstLine="642"/>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（二）关于中共温岭市委党校2024年收入预算情况说明</w:t>
      </w:r>
    </w:p>
    <w:p>
      <w:pPr>
        <w:spacing w:line="580" w:lineRule="exact"/>
        <w:ind w:firstLine="642"/>
      </w:pPr>
      <w:r>
        <w:rPr>
          <w:rFonts w:hint="eastAsia" w:ascii="仿宋_GB2312" w:hAnsi="仿宋_GB2312" w:eastAsia="仿宋_GB2312" w:cs="仿宋_GB2312"/>
          <w:sz w:val="32"/>
          <w:szCs w:val="32"/>
        </w:rPr>
        <w:t>中共温岭市委党校2024年收入预算1894.33万元，比上年执行数减少659.88万元，下</w:t>
      </w:r>
      <w:r>
        <w:rPr>
          <w:rFonts w:hint="eastAsia" w:ascii="仿宋_GB2312" w:hAnsi="仿宋_GB2312" w:eastAsia="仿宋_GB2312" w:cs="仿宋_GB2312"/>
          <w:sz w:val="32"/>
        </w:rPr>
        <w:t>降25.8%，</w:t>
      </w:r>
      <w:r>
        <w:rPr>
          <w:rFonts w:hint="eastAsia" w:ascii="仿宋_GB2312" w:hAnsi="仿宋_GB2312" w:eastAsia="仿宋_GB2312" w:cs="仿宋_GB2312"/>
          <w:sz w:val="32"/>
          <w:szCs w:val="32"/>
        </w:rPr>
        <w:t>主要是减少学员宿舍改造提升、省标杆引领党校创建和教学空间改造等项目预算。</w:t>
      </w:r>
    </w:p>
    <w:p>
      <w:pPr>
        <w:spacing w:line="580" w:lineRule="exact"/>
        <w:ind w:firstLine="642"/>
      </w:pPr>
      <w:r>
        <w:rPr>
          <w:rFonts w:hint="eastAsia" w:ascii="仿宋_GB2312" w:eastAsia="仿宋_GB2312"/>
          <w:sz w:val="32"/>
          <w:szCs w:val="32"/>
        </w:rPr>
        <w:t>其中：一般公共预算拨款收入1774.33万元（上年结转0万元），占93.7%；专户资金120.00万元，占6.3%。</w:t>
      </w:r>
      <w:r>
        <w:rPr>
          <w:rFonts w:hint="eastAsia" w:ascii="仿宋_GB2312" w:eastAsia="仿宋_GB2312"/>
          <w:sz w:val="32"/>
          <w:szCs w:val="32"/>
        </w:rPr>
        <w:br w:type="textWrapping"/>
      </w:r>
      <w:r>
        <w:rPr>
          <w:rFonts w:hint="eastAsia" w:ascii="楷体_GB2312" w:hAnsi="楷体_GB2312" w:eastAsia="楷体_GB2312" w:cs="楷体_GB2312"/>
          <w:bCs/>
          <w:sz w:val="32"/>
          <w:szCs w:val="32"/>
        </w:rPr>
        <w:t>　　（三）关于中共温岭市委党校2024年支出预算情况说明</w:t>
      </w:r>
      <w:r>
        <w:rPr>
          <w:rFonts w:hint="eastAsia" w:ascii="楷体_GB2312" w:hAnsi="楷体_GB2312" w:eastAsia="楷体_GB2312" w:cs="楷体_GB2312"/>
          <w:bCs/>
          <w:sz w:val="32"/>
          <w:szCs w:val="32"/>
        </w:rPr>
        <w:br w:type="textWrapping"/>
      </w:r>
      <w:r>
        <w:rPr>
          <w:rFonts w:hint="eastAsia" w:ascii="仿宋_GB2312" w:eastAsia="仿宋_GB2312"/>
          <w:sz w:val="32"/>
          <w:szCs w:val="32"/>
        </w:rPr>
        <w:t>　</w:t>
      </w:r>
      <w:r>
        <w:rPr>
          <w:rFonts w:hint="eastAsia" w:ascii="仿宋_GB2312" w:hAnsi="仿宋_GB2312" w:eastAsia="仿宋_GB2312" w:cs="仿宋_GB2312"/>
          <w:sz w:val="32"/>
          <w:szCs w:val="32"/>
        </w:rPr>
        <w:t>　中共温岭市委党校2024年支出预算1894.33万元，比上年执行数减少659.88万元，下</w:t>
      </w:r>
      <w:r>
        <w:rPr>
          <w:rFonts w:hint="eastAsia" w:ascii="仿宋_GB2312" w:hAnsi="仿宋_GB2312" w:eastAsia="仿宋_GB2312" w:cs="仿宋_GB2312"/>
          <w:sz w:val="32"/>
        </w:rPr>
        <w:t>降25.8%，</w:t>
      </w:r>
      <w:r>
        <w:rPr>
          <w:rFonts w:hint="eastAsia" w:ascii="仿宋_GB2312" w:hAnsi="仿宋_GB2312" w:eastAsia="仿宋_GB2312" w:cs="仿宋_GB2312"/>
          <w:sz w:val="32"/>
          <w:szCs w:val="32"/>
        </w:rPr>
        <w:t>主要是减少学员宿舍改造提升、省标杆引领党校创建和教学空间改造等项目预算。</w:t>
      </w:r>
    </w:p>
    <w:p>
      <w:pPr>
        <w:spacing w:line="580" w:lineRule="exact"/>
        <w:ind w:firstLine="642"/>
        <w:rPr>
          <w:rFonts w:ascii="仿宋_GB2312" w:eastAsia="仿宋_GB2312"/>
          <w:sz w:val="32"/>
          <w:szCs w:val="32"/>
        </w:rPr>
      </w:pPr>
      <w:r>
        <w:rPr>
          <w:rFonts w:hint="eastAsia" w:ascii="仿宋_GB2312" w:eastAsia="仿宋_GB2312"/>
          <w:sz w:val="32"/>
          <w:szCs w:val="32"/>
        </w:rPr>
        <w:t>1.按支出功能分类，包括教育支出1808.72万元、社会保障和就业支出85.62万元。</w:t>
      </w:r>
    </w:p>
    <w:p>
      <w:pPr>
        <w:spacing w:line="580" w:lineRule="exact"/>
        <w:ind w:firstLine="642"/>
        <w:rPr>
          <w:rFonts w:ascii="仿宋_GB2312" w:eastAsia="仿宋_GB2312"/>
          <w:sz w:val="32"/>
          <w:szCs w:val="32"/>
        </w:rPr>
      </w:pPr>
      <w:r>
        <w:rPr>
          <w:rFonts w:hint="eastAsia" w:ascii="仿宋_GB2312" w:eastAsia="仿宋_GB2312"/>
          <w:sz w:val="32"/>
          <w:szCs w:val="32"/>
        </w:rPr>
        <w:t>2.按支出用途分类，包括人员支出734.57万元，占38.8%；日常公用支出99.97万元，占5.3%；项目支出1059.80万元，占55.9%。</w:t>
      </w:r>
    </w:p>
    <w:p>
      <w:pPr>
        <w:spacing w:line="580" w:lineRule="exact"/>
        <w:ind w:firstLine="630"/>
        <w:rPr>
          <w:rFonts w:ascii="仿宋_GB2312" w:eastAsia="仿宋_GB2312"/>
          <w:sz w:val="32"/>
          <w:szCs w:val="32"/>
        </w:rPr>
      </w:pPr>
      <w:r>
        <w:rPr>
          <w:rFonts w:hint="eastAsia" w:ascii="仿宋_GB2312" w:eastAsia="仿宋_GB2312"/>
          <w:sz w:val="32"/>
          <w:szCs w:val="32"/>
        </w:rPr>
        <w:t>年终结转结余0万元。</w:t>
      </w:r>
    </w:p>
    <w:p>
      <w:pPr>
        <w:spacing w:line="58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（四）关于中共温岭市委党校2024年财政拨款收支预算情况的总体说明</w:t>
      </w:r>
    </w:p>
    <w:p>
      <w:pPr>
        <w:spacing w:line="580" w:lineRule="exact"/>
        <w:ind w:firstLine="640"/>
        <w:rPr>
          <w:rFonts w:ascii="仿宋_GB2312" w:eastAsia="仿宋_GB2312"/>
          <w:sz w:val="32"/>
          <w:szCs w:val="32"/>
        </w:rPr>
      </w:pPr>
      <w:r>
        <w:rPr>
          <w:rFonts w:hint="eastAsia" w:ascii="仿宋_GB2312" w:eastAsia="仿宋_GB2312"/>
          <w:sz w:val="32"/>
          <w:szCs w:val="32"/>
        </w:rPr>
        <w:t>中共温岭市委党校2024年财政拨款收支总预算1774.33万元。收入包括：一般公共预算1774.33万元；支出包括：教育支出1688.72万元、社会保障和就业支出85.62万元。</w:t>
      </w:r>
    </w:p>
    <w:p>
      <w:pPr>
        <w:numPr>
          <w:ilvl w:val="0"/>
          <w:numId w:val="1"/>
        </w:numPr>
        <w:spacing w:line="580" w:lineRule="exact"/>
        <w:ind w:firstLine="64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关于中共温岭市委党校2024年一般公共预算拨款情况说明</w:t>
      </w:r>
    </w:p>
    <w:p>
      <w:pPr>
        <w:spacing w:line="580" w:lineRule="exact"/>
        <w:ind w:firstLine="642"/>
        <w:rPr>
          <w:rFonts w:ascii="仿宋_GB2312" w:hAnsi="仿宋_GB2312" w:eastAsia="仿宋_GB2312" w:cs="仿宋_GB2312"/>
          <w:b/>
          <w:sz w:val="32"/>
          <w:szCs w:val="32"/>
        </w:rPr>
      </w:pPr>
      <w:r>
        <w:rPr>
          <w:rFonts w:hint="eastAsia" w:ascii="仿宋_GB2312" w:hAnsi="仿宋_GB2312" w:eastAsia="仿宋_GB2312" w:cs="仿宋_GB2312"/>
          <w:b/>
          <w:sz w:val="32"/>
          <w:szCs w:val="32"/>
        </w:rPr>
        <w:t>1.一般公共预算拨款规模变化情况。</w:t>
      </w:r>
    </w:p>
    <w:p>
      <w:pPr>
        <w:spacing w:line="58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中共温岭市委党校2024年一般公共预算拨款</w:t>
      </w:r>
      <w:r>
        <w:rPr>
          <w:rFonts w:hint="eastAsia" w:ascii="仿宋_GB2312" w:hAnsi="仿宋_GB2312" w:eastAsia="仿宋_GB2312" w:cs="仿宋_GB2312"/>
          <w:bCs/>
          <w:sz w:val="32"/>
          <w:szCs w:val="32"/>
        </w:rPr>
        <w:t>1774.33</w:t>
      </w:r>
      <w:r>
        <w:rPr>
          <w:rFonts w:hint="eastAsia" w:ascii="仿宋_GB2312" w:hAnsi="仿宋_GB2312" w:eastAsia="仿宋_GB2312" w:cs="仿宋_GB2312"/>
          <w:sz w:val="32"/>
          <w:szCs w:val="32"/>
        </w:rPr>
        <w:t>万元，比上年执行数增加498.70万元，增长</w:t>
      </w:r>
      <w:r>
        <w:rPr>
          <w:rFonts w:hint="eastAsia" w:ascii="仿宋_GB2312" w:hAnsi="仿宋_GB2312" w:eastAsia="仿宋_GB2312" w:cs="仿宋_GB2312"/>
          <w:sz w:val="32"/>
        </w:rPr>
        <w:t>39.1%，</w:t>
      </w:r>
      <w:r>
        <w:rPr>
          <w:rFonts w:hint="eastAsia" w:ascii="仿宋_GB2312" w:hAnsi="仿宋_GB2312" w:eastAsia="仿宋_GB2312" w:cs="仿宋_GB2312"/>
          <w:sz w:val="32"/>
          <w:szCs w:val="32"/>
        </w:rPr>
        <w:t>主要是人员经费有所增加，全省县级党校智库联盟会议、市委党校报告厅整体加固等项目支出增加。</w:t>
      </w:r>
    </w:p>
    <w:p>
      <w:pPr>
        <w:spacing w:line="580" w:lineRule="exact"/>
        <w:ind w:firstLine="642"/>
        <w:rPr>
          <w:rFonts w:ascii="仿宋_GB2312" w:hAnsi="仿宋_GB2312" w:eastAsia="仿宋_GB2312" w:cs="仿宋_GB2312"/>
          <w:b/>
          <w:sz w:val="32"/>
          <w:szCs w:val="32"/>
        </w:rPr>
      </w:pPr>
      <w:r>
        <w:rPr>
          <w:rFonts w:hint="eastAsia" w:ascii="仿宋_GB2312" w:hAnsi="仿宋_GB2312" w:eastAsia="仿宋_GB2312" w:cs="仿宋_GB2312"/>
          <w:b/>
          <w:sz w:val="32"/>
          <w:szCs w:val="32"/>
        </w:rPr>
        <w:t>2.一般公共预算拨款结构情况。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教育支出（类）1688.72万元，占95.2%；社会保障和就业支出（类）85.62万元，占4.8%。</w:t>
      </w:r>
    </w:p>
    <w:p>
      <w:pPr>
        <w:spacing w:line="58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sz w:val="32"/>
          <w:szCs w:val="32"/>
        </w:rPr>
        <w:t>一般公共预算拨款具体使用情况。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教育支出（类）进修及培训（款）干部教育（项）1688.72万元，主要用于党校的人员支出、机构运转等基本支出，以及干部培训、科研资政、干部心理关爱、现场教学点建设、全省县级党校智库联盟会议、校园设施改造、报告厅整体加固等项目支出。</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（2）社会保障和就业支出（类）行政事业单位养老支出（款）机关事业单位基本养老保险缴费支出（项）57.08万元，主要用于主要用于党校在职人员的基本养老保险单位缴费支出。</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（3）社会保障和就业支出（类）行政事业单位养老支出（款）机关事业单位职业年金缴费支出（项）28.54万元，主要用于党校在职人员的职业年金单位缴费支出。</w:t>
      </w:r>
    </w:p>
    <w:p>
      <w:pPr>
        <w:spacing w:line="580" w:lineRule="exac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 xml:space="preserve">    （六）关于中共温岭市委党校2024年一般公共预算基本支出情况说明</w:t>
      </w:r>
    </w:p>
    <w:p>
      <w:pPr>
        <w:spacing w:line="580" w:lineRule="exact"/>
        <w:ind w:firstLine="642"/>
        <w:rPr>
          <w:rFonts w:ascii="仿宋_GB2312" w:eastAsia="仿宋_GB2312"/>
          <w:sz w:val="32"/>
          <w:szCs w:val="32"/>
        </w:rPr>
      </w:pPr>
      <w:r>
        <w:rPr>
          <w:rFonts w:hint="eastAsia" w:ascii="仿宋_GB2312" w:eastAsia="仿宋_GB2312"/>
          <w:sz w:val="32"/>
          <w:szCs w:val="32"/>
        </w:rPr>
        <w:t>中共温岭市委党校2024年一般公共预算基本支出834.53万元，其中：</w:t>
      </w:r>
    </w:p>
    <w:p>
      <w:pPr>
        <w:spacing w:line="580" w:lineRule="exact"/>
        <w:ind w:firstLine="642"/>
        <w:rPr>
          <w:rFonts w:ascii="仿宋_GB2312" w:eastAsia="仿宋_GB2312"/>
          <w:sz w:val="32"/>
          <w:szCs w:val="32"/>
        </w:rPr>
      </w:pPr>
      <w:r>
        <w:rPr>
          <w:rFonts w:hint="eastAsia" w:ascii="仿宋_GB2312" w:eastAsia="仿宋_GB2312"/>
          <w:sz w:val="32"/>
          <w:szCs w:val="32"/>
        </w:rPr>
        <w:t>人员经费734.57万元，主要包括：基本工资、津贴补贴、奖金、绩效工资、机关事业单位基本养老保险缴费、职业年金缴费、职工基本医疗保险缴费、公务员医疗补助缴费、其他社会保障缴费、住房公积金、医疗费、其他工资福利支出、医疗费补助、奖励金；</w:t>
      </w:r>
    </w:p>
    <w:p>
      <w:pPr>
        <w:spacing w:line="580" w:lineRule="exact"/>
        <w:ind w:firstLine="642"/>
        <w:rPr>
          <w:rFonts w:ascii="仿宋_GB2312" w:eastAsia="仿宋_GB2312"/>
          <w:sz w:val="32"/>
          <w:szCs w:val="32"/>
        </w:rPr>
      </w:pPr>
      <w:r>
        <w:rPr>
          <w:rFonts w:hint="eastAsia" w:ascii="仿宋_GB2312" w:eastAsia="仿宋_GB2312"/>
          <w:sz w:val="32"/>
          <w:szCs w:val="32"/>
        </w:rPr>
        <w:t>公用经费99.97万元，主要包括：办公费、印刷费、水费、电费、邮电费、差旅费、公务接待费、劳务费、工会经费、福利费、其他交通费用、其他商品和服务支出。</w:t>
      </w:r>
    </w:p>
    <w:p>
      <w:pPr>
        <w:spacing w:line="580" w:lineRule="exact"/>
        <w:ind w:firstLine="642"/>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（七）关于中共温岭市委党校2024年政府性基金预算支出情况说明</w:t>
      </w:r>
    </w:p>
    <w:p>
      <w:pPr>
        <w:spacing w:line="580" w:lineRule="exact"/>
        <w:ind w:firstLine="642"/>
      </w:pPr>
      <w:r>
        <w:rPr>
          <w:rFonts w:hint="eastAsia" w:ascii="仿宋_GB2312" w:hAnsi="仿宋_GB2312" w:eastAsia="仿宋_GB2312" w:cs="仿宋_GB2312"/>
          <w:sz w:val="32"/>
          <w:szCs w:val="32"/>
        </w:rPr>
        <w:t>中共温岭市委党校2024年没有使用政府性基金预算拨款安排的支出</w:t>
      </w:r>
      <w:r>
        <w:rPr>
          <w:rFonts w:hint="eastAsia" w:ascii="仿宋_GB2312" w:eastAsia="仿宋_GB2312"/>
          <w:sz w:val="32"/>
          <w:szCs w:val="32"/>
        </w:rPr>
        <w:t>，比2023年执行数减少518.16万元</w:t>
      </w:r>
      <w:r>
        <w:rPr>
          <w:rFonts w:hint="eastAsia" w:ascii="仿宋_GB2312" w:hAnsi="仿宋_GB2312" w:eastAsia="仿宋_GB2312" w:cs="仿宋_GB2312"/>
          <w:sz w:val="32"/>
          <w:szCs w:val="32"/>
        </w:rPr>
        <w:t>，下降100%，主要是减少学员宿舍改造提升和省标杆引领党校创建项目预算。</w:t>
      </w:r>
    </w:p>
    <w:p>
      <w:pPr>
        <w:spacing w:line="58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w:t>
      </w:r>
      <w:r>
        <w:rPr>
          <w:rFonts w:ascii="楷体_GB2312" w:hAnsi="楷体_GB2312" w:eastAsia="楷体_GB2312" w:cs="楷体_GB2312"/>
          <w:bCs/>
          <w:sz w:val="32"/>
          <w:szCs w:val="32"/>
        </w:rPr>
        <w:t>中共温岭市委党校</w:t>
      </w:r>
      <w:r>
        <w:rPr>
          <w:rFonts w:hint="eastAsia" w:ascii="楷体_GB2312" w:hAnsi="楷体_GB2312" w:eastAsia="楷体_GB2312" w:cs="楷体_GB2312"/>
          <w:bCs/>
          <w:sz w:val="32"/>
          <w:szCs w:val="32"/>
        </w:rPr>
        <w:t>国有资本经营预算支出情况说明</w:t>
      </w:r>
    </w:p>
    <w:p>
      <w:pPr>
        <w:spacing w:line="580" w:lineRule="exact"/>
        <w:ind w:firstLine="642"/>
        <w:rPr>
          <w:rFonts w:ascii="仿宋_GB2312" w:hAnsi="仿宋_GB2312" w:eastAsia="仿宋_GB2312" w:cs="仿宋_GB2312"/>
          <w:b/>
          <w:sz w:val="32"/>
          <w:szCs w:val="32"/>
        </w:rPr>
      </w:pPr>
      <w:r>
        <w:rPr>
          <w:rFonts w:hint="eastAsia" w:ascii="仿宋_GB2312" w:hAnsi="仿宋_GB2312" w:eastAsia="仿宋_GB2312" w:cs="仿宋_GB2312"/>
          <w:sz w:val="32"/>
          <w:szCs w:val="32"/>
        </w:rPr>
        <w:t>中共温岭市委党校2024年没有使用国有资本经营预算拨款安排的支出，与上年持平。</w:t>
      </w:r>
    </w:p>
    <w:p>
      <w:pPr>
        <w:spacing w:line="58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（九）关于中共温岭市委党校2024年一般公共预算“三公”经费预算情况说明</w:t>
      </w:r>
    </w:p>
    <w:p>
      <w:pPr>
        <w:spacing w:line="580" w:lineRule="exact"/>
        <w:ind w:firstLine="640" w:firstLineChars="200"/>
        <w:rPr>
          <w:rFonts w:ascii="仿宋_GB2312" w:hAnsi="仿宋_GB2312" w:eastAsia="仿宋_GB2312"/>
          <w:sz w:val="32"/>
        </w:rPr>
      </w:pPr>
      <w:r>
        <w:rPr>
          <w:rFonts w:hint="eastAsia" w:ascii="仿宋_GB2312" w:hAnsi="仿宋_GB2312" w:eastAsia="仿宋_GB2312"/>
          <w:sz w:val="32"/>
        </w:rPr>
        <w:t>中共温岭市委党校2024年“三公”经费预算数为1.50万元，</w:t>
      </w:r>
      <w:r>
        <w:rPr>
          <w:rFonts w:hint="eastAsia" w:ascii="仿宋_GB2312" w:hAnsi="仿宋_GB2312" w:eastAsia="仿宋_GB2312" w:cs="仿宋_GB2312"/>
          <w:sz w:val="32"/>
          <w:szCs w:val="32"/>
        </w:rPr>
        <w:t>比上年预算数增加0.20万元，增长15.4%</w:t>
      </w:r>
      <w:r>
        <w:rPr>
          <w:rFonts w:hint="eastAsia" w:ascii="仿宋_GB2312" w:hAnsi="仿宋_GB2312" w:eastAsia="仿宋_GB2312"/>
          <w:sz w:val="32"/>
        </w:rPr>
        <w:t>，具体如下：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sz w:val="32"/>
        </w:rPr>
        <w:t>1.</w:t>
      </w:r>
      <w:r>
        <w:rPr>
          <w:rFonts w:hint="eastAsia" w:ascii="仿宋_GB2312" w:hAnsi="仿宋_GB2312" w:eastAsia="仿宋_GB2312" w:cs="仿宋_GB2312"/>
          <w:kern w:val="0"/>
          <w:sz w:val="32"/>
          <w:szCs w:val="32"/>
        </w:rPr>
        <w:t>因公出国（境）费用：</w:t>
      </w:r>
      <w:r>
        <w:rPr>
          <w:rFonts w:hint="eastAsia" w:ascii="仿宋_GB2312" w:hAnsi="仿宋_GB2312" w:eastAsia="仿宋_GB2312" w:cs="仿宋_GB2312"/>
          <w:sz w:val="32"/>
          <w:szCs w:val="32"/>
        </w:rPr>
        <w:t>根据因公出国计划和实际工作需要，2024年安排因公出国（境）费用预算0万元，比上年预算数增加0万元，与上年预算数</w:t>
      </w:r>
      <w:r>
        <w:rPr>
          <w:rFonts w:hint="eastAsia" w:ascii="仿宋_GB2312" w:hAnsi="仿宋_GB2312" w:eastAsia="仿宋_GB2312"/>
          <w:sz w:val="32"/>
          <w:shd w:val="clear" w:color="auto" w:fill="FFFFFF"/>
        </w:rPr>
        <w:t>持平</w:t>
      </w:r>
      <w:r>
        <w:rPr>
          <w:rFonts w:hint="eastAsia" w:ascii="仿宋_GB2312" w:hAnsi="仿宋_GB2312" w:eastAsia="仿宋_GB2312" w:cs="仿宋_GB2312"/>
          <w:sz w:val="32"/>
          <w:szCs w:val="32"/>
        </w:rPr>
        <w:t>。主要用于机关人员公务出国（境）的国际旅费、国外城市间交通费、住宿费、伙食费、培训费、公杂费等支出。主要原因是无因公出国（境）费用。</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2.公务接待费：2024年安排公务接待费预算1.50万元，比上年预算数增加0.20万元，增长15.4%</w:t>
      </w:r>
      <w:r>
        <w:rPr>
          <w:rFonts w:hint="eastAsia" w:ascii="仿宋_GB2312" w:hAnsi="仿宋_GB2312" w:eastAsia="仿宋_GB2312"/>
          <w:sz w:val="32"/>
          <w:shd w:val="clear" w:color="auto" w:fill="FFFFFF"/>
        </w:rPr>
        <w:t>。</w:t>
      </w:r>
      <w:r>
        <w:rPr>
          <w:rFonts w:hint="eastAsia" w:ascii="仿宋_GB2312" w:hAnsi="仿宋_GB2312" w:eastAsia="仿宋_GB2312" w:cs="仿宋_GB2312"/>
          <w:sz w:val="32"/>
          <w:szCs w:val="32"/>
        </w:rPr>
        <w:t>主要用于接待上级党校、兄弟党校对我校干部培训、科研资政和干部心理关爱建设考察等支</w:t>
      </w:r>
      <w:bookmarkStart w:id="0" w:name="_GoBack"/>
      <w:bookmarkEnd w:id="0"/>
      <w:r>
        <w:rPr>
          <w:rFonts w:hint="eastAsia" w:ascii="仿宋_GB2312" w:hAnsi="仿宋_GB2312" w:eastAsia="仿宋_GB2312" w:cs="仿宋_GB2312"/>
          <w:sz w:val="32"/>
          <w:szCs w:val="32"/>
        </w:rPr>
        <w:t>出。增加的主要原因是预估今年接待来客人次稍有增加。</w:t>
      </w:r>
    </w:p>
    <w:p>
      <w:pPr>
        <w:spacing w:line="580" w:lineRule="exact"/>
        <w:ind w:firstLine="640" w:firstLineChars="200"/>
        <w:rPr>
          <w:rFonts w:ascii="仿宋_GB2312" w:eastAsia="仿宋_GB2312"/>
          <w:b/>
          <w:bCs/>
          <w:sz w:val="32"/>
          <w:szCs w:val="32"/>
        </w:rPr>
      </w:pPr>
      <w:r>
        <w:rPr>
          <w:rFonts w:hint="eastAsia" w:ascii="仿宋_GB2312" w:eastAsia="仿宋_GB2312"/>
          <w:sz w:val="32"/>
          <w:szCs w:val="32"/>
        </w:rPr>
        <w:t>3.公务用车购置及运行维护费：2024年安排公务用车购置及运行维护费预算0万元，</w:t>
      </w:r>
      <w:r>
        <w:rPr>
          <w:rFonts w:hint="eastAsia" w:ascii="仿宋_GB2312" w:hAnsi="仿宋_GB2312" w:eastAsia="仿宋_GB2312" w:cs="仿宋_GB2312"/>
          <w:sz w:val="32"/>
          <w:szCs w:val="32"/>
        </w:rPr>
        <w:t>比上年预算数增加0万元，与上年预算数</w:t>
      </w:r>
      <w:r>
        <w:rPr>
          <w:rFonts w:hint="eastAsia" w:ascii="仿宋_GB2312" w:hAnsi="仿宋_GB2312" w:eastAsia="仿宋_GB2312"/>
          <w:sz w:val="32"/>
          <w:shd w:val="clear" w:color="auto" w:fill="FFFFFF"/>
        </w:rPr>
        <w:t>持平</w:t>
      </w:r>
      <w:r>
        <w:rPr>
          <w:rFonts w:hint="eastAsia" w:ascii="仿宋_GB2312" w:eastAsia="仿宋_GB2312"/>
          <w:sz w:val="32"/>
          <w:szCs w:val="32"/>
        </w:rPr>
        <w:t>。其中，公务用车购置支出0万元（含购置税等附加费用），主要用于经批准购置的0辆公务用车，比上年预算数增加0万元，与上年预算数持平，主要原因是未安排公务用车购置。公务用车运行维护费支出0万元，主要用于公务用车燃料费、维修费、过桥过路费、保险费、安全奖励费用等支出。比上年预算数增加0万元，与上年预算数持平，主要原因是无车辆运行维护费。</w:t>
      </w:r>
    </w:p>
    <w:p>
      <w:pPr>
        <w:spacing w:line="58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80" w:lineRule="exact"/>
        <w:ind w:firstLine="642"/>
        <w:rPr>
          <w:rFonts w:ascii="仿宋_GB2312" w:hAnsi="仿宋_GB2312" w:eastAsia="仿宋_GB2312" w:cs="仿宋_GB2312"/>
          <w:b/>
          <w:sz w:val="32"/>
          <w:szCs w:val="32"/>
        </w:rPr>
      </w:pPr>
      <w:r>
        <w:rPr>
          <w:rFonts w:hint="eastAsia" w:ascii="仿宋_GB2312" w:hAnsi="仿宋_GB2312" w:eastAsia="仿宋_GB2312" w:cs="仿宋_GB2312"/>
          <w:b/>
          <w:sz w:val="32"/>
          <w:szCs w:val="32"/>
        </w:rPr>
        <w:t>1.机关运行经费。</w:t>
      </w:r>
    </w:p>
    <w:p>
      <w:pPr>
        <w:pStyle w:val="15"/>
        <w:spacing w:line="580" w:lineRule="exact"/>
        <w:ind w:firstLine="640" w:firstLineChars="200"/>
        <w:rPr>
          <w:rFonts w:ascii="仿宋_GB2312" w:eastAsia="仿宋_GB2312"/>
          <w:sz w:val="32"/>
          <w:szCs w:val="32"/>
        </w:rPr>
      </w:pPr>
      <w:r>
        <w:rPr>
          <w:rFonts w:hint="eastAsia" w:ascii="仿宋_GB2312" w:eastAsia="仿宋_GB2312"/>
          <w:sz w:val="32"/>
          <w:szCs w:val="32"/>
        </w:rPr>
        <w:t>2024年中共温岭市委党校本级1家参公事业单位的机关运行经费财政拨款预算99.97万元，比上年预算增加13.87万元</w:t>
      </w:r>
      <w:r>
        <w:rPr>
          <w:rFonts w:hint="eastAsia" w:ascii="仿宋_GB2312" w:hAnsi="仿宋_GB2312" w:eastAsia="仿宋_GB2312"/>
          <w:kern w:val="2"/>
          <w:sz w:val="32"/>
          <w:szCs w:val="20"/>
        </w:rPr>
        <w:t>，增长16.1%，主要是机关在职人数增加</w:t>
      </w:r>
      <w:r>
        <w:rPr>
          <w:rFonts w:hint="eastAsia" w:ascii="仿宋_GB2312" w:eastAsia="仿宋_GB2312"/>
          <w:sz w:val="32"/>
          <w:szCs w:val="32"/>
        </w:rPr>
        <w:t>。</w:t>
      </w:r>
    </w:p>
    <w:p>
      <w:pPr>
        <w:pStyle w:val="15"/>
        <w:numPr>
          <w:ilvl w:val="0"/>
          <w:numId w:val="2"/>
        </w:numPr>
        <w:spacing w:line="58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5"/>
        <w:spacing w:line="580" w:lineRule="exact"/>
        <w:ind w:firstLine="640" w:firstLineChars="200"/>
        <w:rPr>
          <w:rFonts w:ascii="仿宋_GB2312" w:eastAsia="仿宋_GB2312"/>
          <w:sz w:val="32"/>
          <w:szCs w:val="32"/>
        </w:rPr>
      </w:pPr>
      <w:r>
        <w:rPr>
          <w:rFonts w:hint="eastAsia" w:ascii="仿宋_GB2312" w:eastAsia="仿宋_GB2312"/>
          <w:sz w:val="32"/>
          <w:szCs w:val="32"/>
        </w:rPr>
        <w:t>2024年中共温岭市委党校各单位政府采购预算总额</w:t>
      </w:r>
      <w:r>
        <w:rPr>
          <w:rFonts w:ascii="仿宋_GB2312" w:eastAsia="仿宋_GB2312"/>
          <w:sz w:val="32"/>
          <w:szCs w:val="32"/>
        </w:rPr>
        <w:t>122.60</w:t>
      </w:r>
      <w:r>
        <w:rPr>
          <w:rFonts w:hint="eastAsia" w:ascii="仿宋_GB2312" w:eastAsia="仿宋_GB2312"/>
          <w:sz w:val="32"/>
          <w:szCs w:val="32"/>
        </w:rPr>
        <w:t>万元，其中：政府采购货物预算14.70万元、政府采购工程预算0万元、政府采购服务预算</w:t>
      </w:r>
      <w:r>
        <w:rPr>
          <w:rFonts w:ascii="仿宋_GB2312" w:eastAsia="仿宋_GB2312"/>
          <w:sz w:val="32"/>
          <w:szCs w:val="32"/>
        </w:rPr>
        <w:t>107.90</w:t>
      </w:r>
      <w:r>
        <w:rPr>
          <w:rFonts w:hint="eastAsia" w:ascii="仿宋_GB2312" w:eastAsia="仿宋_GB2312"/>
          <w:sz w:val="32"/>
          <w:szCs w:val="32"/>
        </w:rPr>
        <w:t>万元。</w:t>
      </w:r>
    </w:p>
    <w:p>
      <w:pPr>
        <w:pStyle w:val="15"/>
        <w:spacing w:line="58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截至2023年12月31日，中共温岭市委党校所属各预算单位共有车辆</w:t>
      </w:r>
      <w:r>
        <w:rPr>
          <w:rFonts w:hint="eastAsia" w:ascii="仿宋_GB2312" w:hAnsi="仿宋_GB2312" w:eastAsia="仿宋_GB2312" w:cs="仿宋_GB2312"/>
          <w:sz w:val="32"/>
          <w:szCs w:val="32"/>
        </w:rPr>
        <w:t xml:space="preserve">0辆。单位价值50万元以上通用设备0台（套），单位价值100万元以上专用设备0台（套）。 </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2024年部门预算未安排购置车辆、单位价值50万元以上通用设备及单位价值100万元以上专用设备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5"/>
        <w:spacing w:line="58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2024年中共温岭市委党校其他运转类项目和特定目标类项目均实行绩效目标管理，共计3个一级项目，涉及当年</w:t>
      </w:r>
      <w:r>
        <w:rPr>
          <w:rFonts w:hint="eastAsia" w:ascii="仿宋_GB2312" w:hAnsi="仿宋_GB2312" w:eastAsia="仿宋_GB2312" w:cs="仿宋_GB2312"/>
          <w:sz w:val="32"/>
          <w:szCs w:val="32"/>
        </w:rPr>
        <w:t>财政拨款939.80</w:t>
      </w:r>
      <w:r>
        <w:rPr>
          <w:rFonts w:ascii="仿宋_GB2312" w:hAnsi="仿宋_GB2312" w:eastAsia="仿宋_GB2312" w:cs="仿宋_GB2312"/>
          <w:sz w:val="32"/>
          <w:szCs w:val="32"/>
        </w:rPr>
        <w:t>万元。同时，将按照相关制度规定开展绩效自评。</w:t>
      </w:r>
      <w:r>
        <w:rPr>
          <w:rFonts w:hint="eastAsia" w:ascii="仿宋_GB2312" w:hAnsi="仿宋_GB2312" w:eastAsia="仿宋_GB2312" w:cs="仿宋_GB2312"/>
          <w:sz w:val="32"/>
          <w:szCs w:val="32"/>
        </w:rPr>
        <w:t>一级项目绩效目标表，详见“2024年部门项目支出绩效表”。</w:t>
      </w:r>
    </w:p>
    <w:p>
      <w:pPr>
        <w:pStyle w:val="15"/>
        <w:spacing w:line="58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sz w:val="32"/>
          <w:szCs w:val="32"/>
        </w:rPr>
        <w:t>、</w:t>
      </w:r>
      <w:r>
        <w:rPr>
          <w:rFonts w:hint="eastAsia" w:ascii="仿宋_GB2312" w:hAnsi="仿宋_GB2312" w:eastAsia="仿宋_GB2312" w:cs="仿宋_GB2312"/>
          <w:sz w:val="32"/>
          <w:szCs w:val="32"/>
        </w:rPr>
        <w:t>政府性基金预算和国有资本经营预算财政拨款。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2.财政专户管理资金:教育收费作为本部门的事业收入，纳入财政专户管理的资金。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3.事业收入：事业单位开展专业业务活动及辅助活动所取得的收入，不含财政专户管理资金收入。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预算”“国有资本经营预算”“财政专户管理资金”“事业收入”“事业单位经营收入”“上级补助收入”和“附属单位上缴收入”等之外取得的各项收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6.上年结转：指以前年度尚未完成、结转到本年仍按原规定用途继续使用的资金。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7.基本支出：是预算单位为保障其正常运转，完成日常工作任务所发生的支出，包括人员支出和日常公用支出。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8.项目支出：是预算单位为完成其特定的行政工作任务或事业发展目标所发生的支出。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9.经营支出：指事业单位在专业业务活动及其辅助活动之外开展非独立核算经营活动发生的支出。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12.教育支出（类）进修及培训（款）干部教育（项）：反映各级党校、行政学院、社会主义学院、国家会计学院的支出。包括机构运转、招聘师资、举办各类培训班的支出等。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13.社会保障和就业支出（类）行政事业单位养老支出（款）机关事业单位基本养老保险缴费支出（项）：反映机关事业单位实施养老保险制度由单位缴纳的基本养老保险费支出。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14.社会保障和就业支出（类）行政事业单位养老支出（款）机关事业单位职业年金缴费支出（项）：反映机关事业单位实施养老保险制度由单位实际缴纳的职业年金支出。</w:t>
      </w:r>
    </w:p>
    <w:p>
      <w:pPr>
        <w:keepNext w:val="0"/>
        <w:keepLines w:val="0"/>
        <w:pageBreakBefore w:val="0"/>
        <w:kinsoku/>
        <w:wordWrap/>
        <w:overflowPunct/>
        <w:topLinePunct w:val="0"/>
        <w:bidi w:val="0"/>
        <w:snapToGrid/>
        <w:spacing w:line="600" w:lineRule="exact"/>
        <w:textAlignment w:val="auto"/>
        <w:rPr>
          <w:highlight w:val="none"/>
        </w:rPr>
      </w:pPr>
      <w:r>
        <w:rPr>
          <w:rStyle w:val="10"/>
          <w:rFonts w:hint="eastAsia" w:ascii="黑体" w:eastAsia="黑体"/>
          <w:b w:val="0"/>
          <w:color w:val="000000"/>
          <w:sz w:val="32"/>
          <w:szCs w:val="32"/>
          <w:highlight w:val="none"/>
          <w:lang w:eastAsia="zh-CN"/>
        </w:rPr>
        <w:t>四、</w:t>
      </w:r>
      <w:r>
        <w:rPr>
          <w:rStyle w:val="10"/>
          <w:rFonts w:hint="eastAsia" w:ascii="黑体" w:eastAsia="黑体"/>
          <w:b w:val="0"/>
          <w:color w:val="000000"/>
          <w:sz w:val="32"/>
          <w:szCs w:val="32"/>
          <w:highlight w:val="none"/>
          <w:lang w:val="en-US" w:eastAsia="zh-CN"/>
        </w:rPr>
        <w:t>2024</w:t>
      </w:r>
      <w:r>
        <w:rPr>
          <w:rStyle w:val="10"/>
          <w:rFonts w:hint="eastAsia" w:ascii="黑体" w:eastAsia="黑体"/>
          <w:b w:val="0"/>
          <w:color w:val="000000"/>
          <w:sz w:val="32"/>
          <w:szCs w:val="32"/>
          <w:highlight w:val="none"/>
        </w:rPr>
        <w:t>年中共温岭市委党校部门</w:t>
      </w:r>
      <w:r>
        <w:rPr>
          <w:rStyle w:val="10"/>
          <w:rFonts w:hint="eastAsia" w:ascii="黑体" w:eastAsia="黑体"/>
          <w:b w:val="0"/>
          <w:color w:val="000000"/>
          <w:sz w:val="32"/>
          <w:szCs w:val="32"/>
          <w:highlight w:val="none"/>
          <w:lang w:eastAsia="zh-CN"/>
        </w:rPr>
        <w:t>预算表</w:t>
      </w:r>
    </w:p>
    <w:p>
      <w:pPr>
        <w:spacing w:line="520" w:lineRule="exact"/>
      </w:pPr>
    </w:p>
    <w:p/>
    <w:sectPr>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2642F"/>
    <w:rsid w:val="00037FBA"/>
    <w:rsid w:val="00084C3B"/>
    <w:rsid w:val="0008696C"/>
    <w:rsid w:val="000C5BEE"/>
    <w:rsid w:val="000F6704"/>
    <w:rsid w:val="0014553D"/>
    <w:rsid w:val="00151805"/>
    <w:rsid w:val="0018453C"/>
    <w:rsid w:val="00225BBF"/>
    <w:rsid w:val="00233C98"/>
    <w:rsid w:val="0025199F"/>
    <w:rsid w:val="00262069"/>
    <w:rsid w:val="00262BFB"/>
    <w:rsid w:val="0029677C"/>
    <w:rsid w:val="002E190E"/>
    <w:rsid w:val="00312421"/>
    <w:rsid w:val="0034320B"/>
    <w:rsid w:val="0035041B"/>
    <w:rsid w:val="003533AA"/>
    <w:rsid w:val="00372A55"/>
    <w:rsid w:val="003A54FF"/>
    <w:rsid w:val="003C7BA3"/>
    <w:rsid w:val="00473DD4"/>
    <w:rsid w:val="00474CA2"/>
    <w:rsid w:val="004B141E"/>
    <w:rsid w:val="004B1D69"/>
    <w:rsid w:val="004C1A7E"/>
    <w:rsid w:val="004D2F08"/>
    <w:rsid w:val="004F65D0"/>
    <w:rsid w:val="004F6D96"/>
    <w:rsid w:val="00535092"/>
    <w:rsid w:val="0054517F"/>
    <w:rsid w:val="0055355B"/>
    <w:rsid w:val="00576237"/>
    <w:rsid w:val="005C2E6B"/>
    <w:rsid w:val="005E47B3"/>
    <w:rsid w:val="005E7D52"/>
    <w:rsid w:val="00655F61"/>
    <w:rsid w:val="00667EBC"/>
    <w:rsid w:val="006B7BF1"/>
    <w:rsid w:val="006C39E2"/>
    <w:rsid w:val="006D5442"/>
    <w:rsid w:val="006D7FE3"/>
    <w:rsid w:val="006E0740"/>
    <w:rsid w:val="006E085B"/>
    <w:rsid w:val="006F455E"/>
    <w:rsid w:val="007072D9"/>
    <w:rsid w:val="0073245A"/>
    <w:rsid w:val="007715EF"/>
    <w:rsid w:val="007A0C65"/>
    <w:rsid w:val="007B431F"/>
    <w:rsid w:val="007E4CC3"/>
    <w:rsid w:val="007E5EFB"/>
    <w:rsid w:val="00801E01"/>
    <w:rsid w:val="00834DDF"/>
    <w:rsid w:val="00850DC9"/>
    <w:rsid w:val="00882C0A"/>
    <w:rsid w:val="0089440C"/>
    <w:rsid w:val="009415A1"/>
    <w:rsid w:val="009427F2"/>
    <w:rsid w:val="00943339"/>
    <w:rsid w:val="009444AA"/>
    <w:rsid w:val="009A7459"/>
    <w:rsid w:val="009B71E7"/>
    <w:rsid w:val="009C4B77"/>
    <w:rsid w:val="00A1291E"/>
    <w:rsid w:val="00A76362"/>
    <w:rsid w:val="00A86842"/>
    <w:rsid w:val="00AB2741"/>
    <w:rsid w:val="00AB4398"/>
    <w:rsid w:val="00AC7742"/>
    <w:rsid w:val="00AE0213"/>
    <w:rsid w:val="00AF3A2E"/>
    <w:rsid w:val="00B109C2"/>
    <w:rsid w:val="00B7532A"/>
    <w:rsid w:val="00BA2DC0"/>
    <w:rsid w:val="00BA6311"/>
    <w:rsid w:val="00C35F38"/>
    <w:rsid w:val="00C47BB8"/>
    <w:rsid w:val="00C52D1F"/>
    <w:rsid w:val="00CC287B"/>
    <w:rsid w:val="00CE3F52"/>
    <w:rsid w:val="00D81B35"/>
    <w:rsid w:val="00DA6F5B"/>
    <w:rsid w:val="00DA7F84"/>
    <w:rsid w:val="00DE02F3"/>
    <w:rsid w:val="00E20FB4"/>
    <w:rsid w:val="00E37BE0"/>
    <w:rsid w:val="00E40834"/>
    <w:rsid w:val="00E429D8"/>
    <w:rsid w:val="00E44C58"/>
    <w:rsid w:val="00E50252"/>
    <w:rsid w:val="00E72378"/>
    <w:rsid w:val="00E744AB"/>
    <w:rsid w:val="00E925CD"/>
    <w:rsid w:val="00F23B56"/>
    <w:rsid w:val="00F56A05"/>
    <w:rsid w:val="00F6374C"/>
    <w:rsid w:val="00F7116F"/>
    <w:rsid w:val="00F73C07"/>
    <w:rsid w:val="00F82550"/>
    <w:rsid w:val="00FB1AD5"/>
    <w:rsid w:val="01405C62"/>
    <w:rsid w:val="015C0D77"/>
    <w:rsid w:val="019839AC"/>
    <w:rsid w:val="01B84CBA"/>
    <w:rsid w:val="01F263DB"/>
    <w:rsid w:val="024C6702"/>
    <w:rsid w:val="02632622"/>
    <w:rsid w:val="026505B4"/>
    <w:rsid w:val="028630A1"/>
    <w:rsid w:val="03381CE4"/>
    <w:rsid w:val="03AA3E3B"/>
    <w:rsid w:val="03EA5C50"/>
    <w:rsid w:val="05054F3D"/>
    <w:rsid w:val="051538E2"/>
    <w:rsid w:val="05227854"/>
    <w:rsid w:val="0538011A"/>
    <w:rsid w:val="054D0FA3"/>
    <w:rsid w:val="05F46152"/>
    <w:rsid w:val="05F835B0"/>
    <w:rsid w:val="063B27DE"/>
    <w:rsid w:val="065E25EC"/>
    <w:rsid w:val="06835E42"/>
    <w:rsid w:val="06FC7ED4"/>
    <w:rsid w:val="07623DA7"/>
    <w:rsid w:val="077B34F3"/>
    <w:rsid w:val="07907D66"/>
    <w:rsid w:val="07DA3D25"/>
    <w:rsid w:val="08106881"/>
    <w:rsid w:val="081119C7"/>
    <w:rsid w:val="081A0728"/>
    <w:rsid w:val="08784132"/>
    <w:rsid w:val="08950F6A"/>
    <w:rsid w:val="08DE4DFD"/>
    <w:rsid w:val="08FE14ED"/>
    <w:rsid w:val="09C31824"/>
    <w:rsid w:val="0A1D1E06"/>
    <w:rsid w:val="0A4C7CCD"/>
    <w:rsid w:val="0AA55803"/>
    <w:rsid w:val="0B486D9D"/>
    <w:rsid w:val="0BD448F3"/>
    <w:rsid w:val="0C7B7749"/>
    <w:rsid w:val="0C8E4E84"/>
    <w:rsid w:val="0CE2397A"/>
    <w:rsid w:val="0CEE5818"/>
    <w:rsid w:val="0D0B39F3"/>
    <w:rsid w:val="0D3B5DD1"/>
    <w:rsid w:val="0DDF3EA9"/>
    <w:rsid w:val="0F0A0BC6"/>
    <w:rsid w:val="0F3E23E2"/>
    <w:rsid w:val="0F553938"/>
    <w:rsid w:val="0F5C4EB1"/>
    <w:rsid w:val="0F760C96"/>
    <w:rsid w:val="0F7E3634"/>
    <w:rsid w:val="0FFC24E5"/>
    <w:rsid w:val="1085571C"/>
    <w:rsid w:val="11387C8E"/>
    <w:rsid w:val="119C1C51"/>
    <w:rsid w:val="124E1058"/>
    <w:rsid w:val="12970A77"/>
    <w:rsid w:val="12B72665"/>
    <w:rsid w:val="12D300E7"/>
    <w:rsid w:val="13725DAD"/>
    <w:rsid w:val="13811EEE"/>
    <w:rsid w:val="142724B1"/>
    <w:rsid w:val="14EF3497"/>
    <w:rsid w:val="153C45B3"/>
    <w:rsid w:val="15420797"/>
    <w:rsid w:val="154C3A3E"/>
    <w:rsid w:val="157947AC"/>
    <w:rsid w:val="15DB09EF"/>
    <w:rsid w:val="1650535C"/>
    <w:rsid w:val="165642D9"/>
    <w:rsid w:val="1698204B"/>
    <w:rsid w:val="16F374C9"/>
    <w:rsid w:val="17EC7FC1"/>
    <w:rsid w:val="17F81734"/>
    <w:rsid w:val="18083E91"/>
    <w:rsid w:val="180D7344"/>
    <w:rsid w:val="18471CCC"/>
    <w:rsid w:val="18477163"/>
    <w:rsid w:val="18B20944"/>
    <w:rsid w:val="18D04290"/>
    <w:rsid w:val="18EF3804"/>
    <w:rsid w:val="195C3A7E"/>
    <w:rsid w:val="1A14325B"/>
    <w:rsid w:val="1A2375F0"/>
    <w:rsid w:val="1A9C6906"/>
    <w:rsid w:val="1AC0275A"/>
    <w:rsid w:val="1B1D1342"/>
    <w:rsid w:val="1B232D94"/>
    <w:rsid w:val="1B2A6629"/>
    <w:rsid w:val="1BEE7E26"/>
    <w:rsid w:val="1C103D2D"/>
    <w:rsid w:val="1C1965EC"/>
    <w:rsid w:val="1C292C5C"/>
    <w:rsid w:val="1C652CAB"/>
    <w:rsid w:val="1C7701B9"/>
    <w:rsid w:val="1D99665F"/>
    <w:rsid w:val="1E2850F6"/>
    <w:rsid w:val="1E5122F2"/>
    <w:rsid w:val="1E621D9B"/>
    <w:rsid w:val="1E945AB3"/>
    <w:rsid w:val="1EBB0876"/>
    <w:rsid w:val="1ED0484E"/>
    <w:rsid w:val="1EF8115B"/>
    <w:rsid w:val="1EFB5835"/>
    <w:rsid w:val="1F163669"/>
    <w:rsid w:val="1F532D70"/>
    <w:rsid w:val="1F7807AF"/>
    <w:rsid w:val="2008260C"/>
    <w:rsid w:val="205247F6"/>
    <w:rsid w:val="205C3A33"/>
    <w:rsid w:val="20B736BA"/>
    <w:rsid w:val="20C21B5F"/>
    <w:rsid w:val="20D018DC"/>
    <w:rsid w:val="20D8491F"/>
    <w:rsid w:val="217D79B3"/>
    <w:rsid w:val="219B3B12"/>
    <w:rsid w:val="21B96760"/>
    <w:rsid w:val="21F8300E"/>
    <w:rsid w:val="22264B96"/>
    <w:rsid w:val="22A22428"/>
    <w:rsid w:val="22D4227E"/>
    <w:rsid w:val="22FA27EC"/>
    <w:rsid w:val="230477A4"/>
    <w:rsid w:val="23235A81"/>
    <w:rsid w:val="234550B7"/>
    <w:rsid w:val="23565231"/>
    <w:rsid w:val="2384696C"/>
    <w:rsid w:val="23B968AE"/>
    <w:rsid w:val="240772FF"/>
    <w:rsid w:val="24183DF0"/>
    <w:rsid w:val="243B67FF"/>
    <w:rsid w:val="24634140"/>
    <w:rsid w:val="247778DD"/>
    <w:rsid w:val="247A77A8"/>
    <w:rsid w:val="2492204D"/>
    <w:rsid w:val="24D6630F"/>
    <w:rsid w:val="24F84929"/>
    <w:rsid w:val="257B506C"/>
    <w:rsid w:val="25A847D7"/>
    <w:rsid w:val="25DE1005"/>
    <w:rsid w:val="25E023B3"/>
    <w:rsid w:val="25F31947"/>
    <w:rsid w:val="260A1E20"/>
    <w:rsid w:val="2622669F"/>
    <w:rsid w:val="26816946"/>
    <w:rsid w:val="26DB7398"/>
    <w:rsid w:val="2705728B"/>
    <w:rsid w:val="27417BF8"/>
    <w:rsid w:val="27693B45"/>
    <w:rsid w:val="27A60A1A"/>
    <w:rsid w:val="28370309"/>
    <w:rsid w:val="283A129B"/>
    <w:rsid w:val="28F7367E"/>
    <w:rsid w:val="29493649"/>
    <w:rsid w:val="294F0255"/>
    <w:rsid w:val="29DF16A7"/>
    <w:rsid w:val="29F74F67"/>
    <w:rsid w:val="2A484907"/>
    <w:rsid w:val="2B0E7AB2"/>
    <w:rsid w:val="2B755902"/>
    <w:rsid w:val="2BA81833"/>
    <w:rsid w:val="2BAC3F70"/>
    <w:rsid w:val="2BE1588C"/>
    <w:rsid w:val="2C56166B"/>
    <w:rsid w:val="2C772798"/>
    <w:rsid w:val="2CC5167C"/>
    <w:rsid w:val="2CE33635"/>
    <w:rsid w:val="2D391980"/>
    <w:rsid w:val="2DC931AE"/>
    <w:rsid w:val="2DE95528"/>
    <w:rsid w:val="2DED5EED"/>
    <w:rsid w:val="2ED263DE"/>
    <w:rsid w:val="2EDC147D"/>
    <w:rsid w:val="2F312BD6"/>
    <w:rsid w:val="2F4F315F"/>
    <w:rsid w:val="2F5260FE"/>
    <w:rsid w:val="2F904403"/>
    <w:rsid w:val="30780EC9"/>
    <w:rsid w:val="31BC4075"/>
    <w:rsid w:val="31C46552"/>
    <w:rsid w:val="31EC7268"/>
    <w:rsid w:val="32691E0F"/>
    <w:rsid w:val="33722AF4"/>
    <w:rsid w:val="339F5B7F"/>
    <w:rsid w:val="33EE30FE"/>
    <w:rsid w:val="345A4B8C"/>
    <w:rsid w:val="348C692F"/>
    <w:rsid w:val="34A77A31"/>
    <w:rsid w:val="34F20284"/>
    <w:rsid w:val="354F6355"/>
    <w:rsid w:val="3570347C"/>
    <w:rsid w:val="35A87E15"/>
    <w:rsid w:val="35FC37F1"/>
    <w:rsid w:val="3619346A"/>
    <w:rsid w:val="37DD34EA"/>
    <w:rsid w:val="3859649B"/>
    <w:rsid w:val="386D2696"/>
    <w:rsid w:val="38D834D0"/>
    <w:rsid w:val="39103ACE"/>
    <w:rsid w:val="39227B1B"/>
    <w:rsid w:val="39406911"/>
    <w:rsid w:val="39745A19"/>
    <w:rsid w:val="39850296"/>
    <w:rsid w:val="39C26750"/>
    <w:rsid w:val="39EE0888"/>
    <w:rsid w:val="3A7F1D43"/>
    <w:rsid w:val="3A8D223E"/>
    <w:rsid w:val="3AA7481D"/>
    <w:rsid w:val="3B291386"/>
    <w:rsid w:val="3B563038"/>
    <w:rsid w:val="3B80307E"/>
    <w:rsid w:val="3BB92E3D"/>
    <w:rsid w:val="3BCA7BD7"/>
    <w:rsid w:val="3C6C37E2"/>
    <w:rsid w:val="3C7D1C3F"/>
    <w:rsid w:val="3CFD6A0C"/>
    <w:rsid w:val="3D9B6799"/>
    <w:rsid w:val="3E431765"/>
    <w:rsid w:val="3E9052B0"/>
    <w:rsid w:val="400943B7"/>
    <w:rsid w:val="40143523"/>
    <w:rsid w:val="406B2735"/>
    <w:rsid w:val="4171469C"/>
    <w:rsid w:val="42693382"/>
    <w:rsid w:val="428C60A6"/>
    <w:rsid w:val="42C454C8"/>
    <w:rsid w:val="431A2687"/>
    <w:rsid w:val="43482ADF"/>
    <w:rsid w:val="43497E11"/>
    <w:rsid w:val="438C52D1"/>
    <w:rsid w:val="43AF1DC7"/>
    <w:rsid w:val="43B435AC"/>
    <w:rsid w:val="442360D8"/>
    <w:rsid w:val="447B2820"/>
    <w:rsid w:val="44AF4D8F"/>
    <w:rsid w:val="44C12612"/>
    <w:rsid w:val="450B3104"/>
    <w:rsid w:val="45374F70"/>
    <w:rsid w:val="45691EE4"/>
    <w:rsid w:val="45E922E2"/>
    <w:rsid w:val="46181B9F"/>
    <w:rsid w:val="4646138E"/>
    <w:rsid w:val="46B73DB3"/>
    <w:rsid w:val="46B85A12"/>
    <w:rsid w:val="46C20ABF"/>
    <w:rsid w:val="46C277A4"/>
    <w:rsid w:val="471C5409"/>
    <w:rsid w:val="475E76EE"/>
    <w:rsid w:val="47645604"/>
    <w:rsid w:val="47AC0459"/>
    <w:rsid w:val="47B54AE2"/>
    <w:rsid w:val="484652C3"/>
    <w:rsid w:val="488009FE"/>
    <w:rsid w:val="489E735B"/>
    <w:rsid w:val="48AA0CAC"/>
    <w:rsid w:val="48EF215B"/>
    <w:rsid w:val="49547ADE"/>
    <w:rsid w:val="499358EA"/>
    <w:rsid w:val="49A87567"/>
    <w:rsid w:val="4AB935E6"/>
    <w:rsid w:val="4B1F601E"/>
    <w:rsid w:val="4B533C05"/>
    <w:rsid w:val="4B65339C"/>
    <w:rsid w:val="4BC04353"/>
    <w:rsid w:val="4BE2220E"/>
    <w:rsid w:val="4D097364"/>
    <w:rsid w:val="4D7808AB"/>
    <w:rsid w:val="4DC87963"/>
    <w:rsid w:val="4DEB1983"/>
    <w:rsid w:val="4EBD760D"/>
    <w:rsid w:val="4EED2017"/>
    <w:rsid w:val="4F0B2DEE"/>
    <w:rsid w:val="4F0E2841"/>
    <w:rsid w:val="4F194455"/>
    <w:rsid w:val="4F2E2211"/>
    <w:rsid w:val="4F4E78CD"/>
    <w:rsid w:val="4FA62E1E"/>
    <w:rsid w:val="4FE85961"/>
    <w:rsid w:val="50341189"/>
    <w:rsid w:val="50837233"/>
    <w:rsid w:val="514C5668"/>
    <w:rsid w:val="51513799"/>
    <w:rsid w:val="518C29B6"/>
    <w:rsid w:val="52170DB7"/>
    <w:rsid w:val="5239284C"/>
    <w:rsid w:val="52AA23A8"/>
    <w:rsid w:val="52B7187A"/>
    <w:rsid w:val="533853F5"/>
    <w:rsid w:val="53A5465B"/>
    <w:rsid w:val="53B6028C"/>
    <w:rsid w:val="53DB4D25"/>
    <w:rsid w:val="54392B16"/>
    <w:rsid w:val="54442E65"/>
    <w:rsid w:val="545B2AA1"/>
    <w:rsid w:val="549B5701"/>
    <w:rsid w:val="54A9277D"/>
    <w:rsid w:val="553F16B7"/>
    <w:rsid w:val="558856A9"/>
    <w:rsid w:val="55CA2A9E"/>
    <w:rsid w:val="55E50F1B"/>
    <w:rsid w:val="565F6886"/>
    <w:rsid w:val="567813BA"/>
    <w:rsid w:val="56BC237C"/>
    <w:rsid w:val="56C00077"/>
    <w:rsid w:val="56CD4B4D"/>
    <w:rsid w:val="56E65062"/>
    <w:rsid w:val="575867DA"/>
    <w:rsid w:val="5798381B"/>
    <w:rsid w:val="57B701F7"/>
    <w:rsid w:val="585447AE"/>
    <w:rsid w:val="588834ED"/>
    <w:rsid w:val="58AC1A08"/>
    <w:rsid w:val="58EC4DE1"/>
    <w:rsid w:val="59EC6E24"/>
    <w:rsid w:val="59F0461E"/>
    <w:rsid w:val="5A0B2520"/>
    <w:rsid w:val="5A186813"/>
    <w:rsid w:val="5A3B2376"/>
    <w:rsid w:val="5A40591F"/>
    <w:rsid w:val="5A6F0692"/>
    <w:rsid w:val="5ABF2E42"/>
    <w:rsid w:val="5ACF3086"/>
    <w:rsid w:val="5B586398"/>
    <w:rsid w:val="5B916903"/>
    <w:rsid w:val="5BB53BA8"/>
    <w:rsid w:val="5BEF472E"/>
    <w:rsid w:val="5C7C3148"/>
    <w:rsid w:val="5C932202"/>
    <w:rsid w:val="5CC87E6F"/>
    <w:rsid w:val="5CD918EA"/>
    <w:rsid w:val="5CE120DB"/>
    <w:rsid w:val="5D247D3D"/>
    <w:rsid w:val="5DAE1AC9"/>
    <w:rsid w:val="5E153AF5"/>
    <w:rsid w:val="5E275A5A"/>
    <w:rsid w:val="5E293727"/>
    <w:rsid w:val="5E7A2525"/>
    <w:rsid w:val="5F0E1E7F"/>
    <w:rsid w:val="5F112305"/>
    <w:rsid w:val="5F1476E7"/>
    <w:rsid w:val="5F213803"/>
    <w:rsid w:val="5F2767B3"/>
    <w:rsid w:val="5F7F47EA"/>
    <w:rsid w:val="5FE31F70"/>
    <w:rsid w:val="5FEB5C5F"/>
    <w:rsid w:val="60045498"/>
    <w:rsid w:val="60242381"/>
    <w:rsid w:val="60DE41D2"/>
    <w:rsid w:val="614C1844"/>
    <w:rsid w:val="614F46D3"/>
    <w:rsid w:val="617A6C2D"/>
    <w:rsid w:val="618968F0"/>
    <w:rsid w:val="619E6355"/>
    <w:rsid w:val="61BD64DA"/>
    <w:rsid w:val="6215384D"/>
    <w:rsid w:val="62AC06BC"/>
    <w:rsid w:val="633B4987"/>
    <w:rsid w:val="63525D55"/>
    <w:rsid w:val="64976B5D"/>
    <w:rsid w:val="64C20A08"/>
    <w:rsid w:val="64E24AB9"/>
    <w:rsid w:val="64EB5E98"/>
    <w:rsid w:val="64F06443"/>
    <w:rsid w:val="65737FB9"/>
    <w:rsid w:val="65DF5ECF"/>
    <w:rsid w:val="66A662C4"/>
    <w:rsid w:val="66FF3033"/>
    <w:rsid w:val="67222B8A"/>
    <w:rsid w:val="677105B3"/>
    <w:rsid w:val="679D182D"/>
    <w:rsid w:val="67BB6396"/>
    <w:rsid w:val="68197E1D"/>
    <w:rsid w:val="685045A6"/>
    <w:rsid w:val="68725BBA"/>
    <w:rsid w:val="688621C1"/>
    <w:rsid w:val="68C15BDE"/>
    <w:rsid w:val="690130CE"/>
    <w:rsid w:val="699562A3"/>
    <w:rsid w:val="69E95327"/>
    <w:rsid w:val="6A565402"/>
    <w:rsid w:val="6AB76720"/>
    <w:rsid w:val="6AD23ACD"/>
    <w:rsid w:val="6B315A81"/>
    <w:rsid w:val="6B876DF9"/>
    <w:rsid w:val="6C3F4637"/>
    <w:rsid w:val="6C6A006A"/>
    <w:rsid w:val="6C9D07C7"/>
    <w:rsid w:val="6CA34594"/>
    <w:rsid w:val="6CB426A8"/>
    <w:rsid w:val="6D3835CD"/>
    <w:rsid w:val="6D485B38"/>
    <w:rsid w:val="6DDF18A8"/>
    <w:rsid w:val="6E7742D5"/>
    <w:rsid w:val="6E947A29"/>
    <w:rsid w:val="6F940B51"/>
    <w:rsid w:val="701E0D35"/>
    <w:rsid w:val="70C735D1"/>
    <w:rsid w:val="717A54B6"/>
    <w:rsid w:val="71C9509A"/>
    <w:rsid w:val="72AF23A1"/>
    <w:rsid w:val="72BF52A3"/>
    <w:rsid w:val="730D3EE6"/>
    <w:rsid w:val="73520170"/>
    <w:rsid w:val="7352573A"/>
    <w:rsid w:val="73B32D5B"/>
    <w:rsid w:val="73F41763"/>
    <w:rsid w:val="746E4D98"/>
    <w:rsid w:val="74EA0661"/>
    <w:rsid w:val="75127B2A"/>
    <w:rsid w:val="75272590"/>
    <w:rsid w:val="756B70AB"/>
    <w:rsid w:val="757B0F4D"/>
    <w:rsid w:val="759D7389"/>
    <w:rsid w:val="7616251A"/>
    <w:rsid w:val="7617390F"/>
    <w:rsid w:val="762D45E7"/>
    <w:rsid w:val="76346231"/>
    <w:rsid w:val="76432C97"/>
    <w:rsid w:val="76472E5B"/>
    <w:rsid w:val="773F1B2E"/>
    <w:rsid w:val="776141C0"/>
    <w:rsid w:val="77E71EE7"/>
    <w:rsid w:val="78080136"/>
    <w:rsid w:val="78403651"/>
    <w:rsid w:val="784051C1"/>
    <w:rsid w:val="78987CE5"/>
    <w:rsid w:val="789E16E5"/>
    <w:rsid w:val="78DB40C6"/>
    <w:rsid w:val="7954401D"/>
    <w:rsid w:val="79547EF1"/>
    <w:rsid w:val="79A24C96"/>
    <w:rsid w:val="7AE80A7B"/>
    <w:rsid w:val="7B5E14E4"/>
    <w:rsid w:val="7B741965"/>
    <w:rsid w:val="7BBF78B4"/>
    <w:rsid w:val="7BFE30BC"/>
    <w:rsid w:val="7C390664"/>
    <w:rsid w:val="7CD24C07"/>
    <w:rsid w:val="7CDD0037"/>
    <w:rsid w:val="7D06612B"/>
    <w:rsid w:val="7D6C2012"/>
    <w:rsid w:val="7D8E6DCC"/>
    <w:rsid w:val="7D8F4D87"/>
    <w:rsid w:val="7DBA0F25"/>
    <w:rsid w:val="7DBB66FE"/>
    <w:rsid w:val="7DBE27C1"/>
    <w:rsid w:val="7DCA5F0F"/>
    <w:rsid w:val="7DD27BA7"/>
    <w:rsid w:val="7E1F736F"/>
    <w:rsid w:val="7E366AB8"/>
    <w:rsid w:val="7E447259"/>
    <w:rsid w:val="7E53316F"/>
    <w:rsid w:val="7ED10C1A"/>
    <w:rsid w:val="7EF60637"/>
    <w:rsid w:val="7F2F1592"/>
    <w:rsid w:val="7F87730A"/>
    <w:rsid w:val="7F9B365A"/>
    <w:rsid w:val="7FA57776"/>
    <w:rsid w:val="7FC2506D"/>
    <w:rsid w:val="EFBD0AED"/>
    <w:rsid w:val="FE4F9B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annotation text"/>
    <w:basedOn w:val="1"/>
    <w:qFormat/>
    <w:uiPriority w:val="0"/>
    <w:pPr>
      <w:jc w:val="left"/>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paragraph" w:customStyle="1" w:styleId="11">
    <w:name w:val="Char"/>
    <w:basedOn w:val="1"/>
    <w:qFormat/>
    <w:uiPriority w:val="0"/>
    <w:rPr>
      <w:rFonts w:ascii="宋体" w:hAnsi="宋体" w:cs="Courier New"/>
      <w:sz w:val="32"/>
      <w:szCs w:val="32"/>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xc</Company>
  <Pages>11</Pages>
  <Words>717</Words>
  <Characters>4091</Characters>
  <Lines>34</Lines>
  <Paragraphs>9</Paragraphs>
  <TotalTime>0</TotalTime>
  <ScaleCrop>false</ScaleCrop>
  <LinksUpToDate>false</LinksUpToDate>
  <CharactersWithSpaces>4799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2020-01-06T16:45:00Z</dcterms:created>
  <dc:creator>dsx</dc:creator>
  <cp:lastModifiedBy>Administrator</cp:lastModifiedBy>
  <cp:lastPrinted>2024-02-27T10:51:00Z</cp:lastPrinted>
  <dcterms:modified xsi:type="dcterms:W3CDTF">2024-03-07T06:43:14Z</dcterms:modified>
  <dc:title>关于2019年部门预算的批复</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EDOID">
    <vt:r8>5838458</vt:r8>
  </property>
  <property fmtid="{D5CDD505-2E9C-101B-9397-08002B2CF9AE}" pid="4" name="ICV">
    <vt:lpwstr>E7E435903E954F16B3A6550F30CE4D1E</vt:lpwstr>
  </property>
</Properties>
</file>